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rPr>
          <w:rFonts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 w:cs="宋体"/>
          <w:color w:val="000000" w:themeColor="text1"/>
          <w:spacing w:val="-12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pacing w:val="-12"/>
          <w:sz w:val="36"/>
          <w:szCs w:val="36"/>
          <w14:textFill>
            <w14:solidFill>
              <w14:schemeClr w14:val="tx1"/>
            </w14:solidFill>
          </w14:textFill>
        </w:rPr>
        <w:t>1</w:t>
      </w:r>
    </w:p>
    <w:p>
      <w:pPr>
        <w:spacing w:line="30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14" w:line="219" w:lineRule="auto"/>
        <w:ind w:firstLine="1472" w:firstLineChars="400"/>
        <w:rPr>
          <w:rFonts w:ascii="宋体" w:hAnsi="宋体" w:eastAsia="宋体" w:cs="宋体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sz w:val="35"/>
          <w:szCs w:val="35"/>
          <w14:textFill>
            <w14:solidFill>
              <w14:schemeClr w14:val="tx1"/>
            </w14:solidFill>
          </w14:textFill>
        </w:rPr>
        <w:t>德驭医疗马鞍山总医院</w:t>
      </w:r>
      <w:r>
        <w:rPr>
          <w:rFonts w:ascii="宋体" w:hAnsi="宋体" w:eastAsia="宋体" w:cs="宋体"/>
          <w:color w:val="000000" w:themeColor="text1"/>
          <w:spacing w:val="9"/>
          <w:sz w:val="35"/>
          <w:szCs w:val="35"/>
          <w14:textFill>
            <w14:solidFill>
              <w14:schemeClr w14:val="tx1"/>
            </w14:solidFill>
          </w14:textFill>
        </w:rPr>
        <w:t>医疗服务信息社会公开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18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0"/>
        <w:gridCol w:w="2552"/>
        <w:gridCol w:w="425"/>
        <w:gridCol w:w="283"/>
        <w:gridCol w:w="947"/>
        <w:gridCol w:w="1635"/>
        <w:gridCol w:w="1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219" w:lineRule="auto"/>
              <w:ind w:firstLine="404"/>
              <w:rPr>
                <w:rFonts w:ascii="宋体" w:hAnsi="宋体" w:eastAsia="宋体" w:cs="宋体"/>
                <w:b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信息分类</w:t>
            </w: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auto" w:sz="4" w:space="0"/>
            </w:tcBorders>
          </w:tcPr>
          <w:p>
            <w:pPr>
              <w:spacing w:before="251" w:line="220" w:lineRule="auto"/>
              <w:ind w:firstLine="1992"/>
              <w:rPr>
                <w:rFonts w:ascii="宋体" w:hAnsi="宋体" w:eastAsia="宋体" w:cs="宋体"/>
                <w:b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1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指标项目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160" w:lineRule="exact"/>
              <w:ind w:firstLine="117"/>
              <w:jc w:val="center"/>
              <w:rPr>
                <w:rFonts w:ascii="宋体" w:hAnsi="宋体" w:eastAsia="宋体" w:cs="宋体"/>
                <w:b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  <w:p>
            <w:pPr>
              <w:spacing w:before="248" w:line="160" w:lineRule="exact"/>
              <w:ind w:firstLine="117"/>
              <w:jc w:val="center"/>
              <w:rPr>
                <w:rFonts w:ascii="宋体" w:hAnsi="宋体" w:eastAsia="宋体" w:cs="宋体"/>
                <w:b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2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季度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160" w:lineRule="exact"/>
              <w:ind w:firstLine="117"/>
              <w:jc w:val="center"/>
              <w:rPr>
                <w:rFonts w:ascii="宋体" w:hAnsi="宋体" w:eastAsia="宋体" w:cs="宋体"/>
                <w:b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  <w:p>
            <w:pPr>
              <w:spacing w:before="250" w:line="160" w:lineRule="exact"/>
              <w:ind w:firstLine="88"/>
              <w:jc w:val="center"/>
              <w:rPr>
                <w:rFonts w:ascii="宋体" w:hAnsi="宋体" w:eastAsia="宋体" w:cs="宋体"/>
                <w:b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2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23" w:type="dxa"/>
            <w:vMerge w:val="restart"/>
            <w:tcBorders>
              <w:top w:val="single" w:color="000000" w:sz="2" w:space="0"/>
              <w:right w:val="single" w:color="auto" w:sz="4" w:space="0"/>
            </w:tcBorders>
          </w:tcPr>
          <w:p>
            <w:pPr>
              <w:spacing w:line="24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219" w:lineRule="auto"/>
              <w:ind w:firstLine="1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1.基本情况</w:t>
            </w:r>
          </w:p>
        </w:tc>
        <w:tc>
          <w:tcPr>
            <w:tcW w:w="4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82" w:line="219" w:lineRule="auto"/>
              <w:ind w:firstLine="1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1.1医疗机构等级与综合/专科</w:t>
            </w:r>
          </w:p>
        </w:tc>
        <w:tc>
          <w:tcPr>
            <w:tcW w:w="359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spacing w:before="117" w:line="220" w:lineRule="auto"/>
              <w:jc w:val="both"/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三级甲等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right w:val="single" w:color="auto" w:sz="4" w:space="0"/>
            </w:tcBorders>
          </w:tcPr>
          <w:p>
            <w:pPr>
              <w:spacing w:before="81" w:line="219" w:lineRule="auto"/>
              <w:ind w:firstLine="11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重点(特色)专科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7" w:line="360" w:lineRule="auto"/>
              <w:jc w:val="both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359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spacing w:before="117" w:line="360" w:lineRule="auto"/>
              <w:ind w:firstLine="625" w:firstLineChars="250"/>
              <w:jc w:val="both"/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spacing w:before="126" w:line="360" w:lineRule="auto"/>
              <w:jc w:val="both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359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心血管内科         肾脏内科</w:t>
            </w:r>
          </w:p>
          <w:p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急诊医学科         内分泌科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8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0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360" w:lineRule="auto"/>
              <w:jc w:val="both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359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泌尿外科            烧伤整形科</w:t>
            </w:r>
          </w:p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老年医学科         神经内科            重症医学科       耳鼻喉头颈外科</w:t>
            </w:r>
          </w:p>
          <w:p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全科医学科        骨科</w:t>
            </w:r>
          </w:p>
          <w:p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麻醉（疼痛）中心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8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jc w:val="both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院级</w:t>
            </w:r>
          </w:p>
        </w:tc>
        <w:tc>
          <w:tcPr>
            <w:tcW w:w="359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20" w:lineRule="auto"/>
              <w:ind w:firstLine="650" w:firstLineChars="250"/>
              <w:jc w:val="both"/>
              <w:rPr>
                <w:rFonts w:ascii="宋体" w:hAnsi="宋体" w:eastAsia="宋体" w:cs="宋体"/>
                <w:color w:val="000000" w:themeColor="text1"/>
                <w:spacing w:val="5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     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0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"江淮名医"人数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cs="Arial" w:asciiTheme="minorEastAsia" w:hAnsiTheme="minorEastAsia" w:eastAsiaTheme="minorEastAsia"/>
                <w:bCs/>
                <w:snapToGrid w:val="0"/>
                <w:color w:val="000000" w:themeColor="text1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cs="Arial" w:asciiTheme="minorEastAsia" w:hAnsiTheme="minorEastAsia" w:eastAsiaTheme="minorEastAsia"/>
                <w:bCs/>
                <w:snapToGrid w:val="0"/>
                <w:color w:val="000000" w:themeColor="text1"/>
                <w:sz w:val="25"/>
                <w:szCs w:val="25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bCs/>
                <w:snapToGrid w:val="0"/>
                <w:color w:val="000000" w:themeColor="text1"/>
                <w:sz w:val="25"/>
                <w:szCs w:val="25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10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床医比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1:0.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1:0.509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bottom w:val="single" w:color="000000" w:sz="2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19" w:lineRule="auto"/>
              <w:ind w:firstLine="10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床护比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1:0.648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1:0.642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220" w:lineRule="auto"/>
              <w:ind w:firstLine="11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2.医疗费用</w:t>
            </w: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20" w:lineRule="auto"/>
              <w:ind w:firstLine="10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2.1门诊患者人均医疗费用(元)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250元/人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248元/人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0" w:lineRule="auto"/>
              <w:ind w:firstLine="10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2.2住院患者人均医疗费用(元)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10871元/人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10519元/人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7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19" w:lineRule="auto"/>
              <w:ind w:firstLine="8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4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2" w:line="219" w:lineRule="auto"/>
              <w:ind w:firstLine="111"/>
              <w:jc w:val="center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2.4基本医保实际报销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比例(%)</w:t>
            </w:r>
          </w:p>
        </w:tc>
        <w:tc>
          <w:tcPr>
            <w:tcW w:w="165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城镇职工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81.69%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81.62%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城乡居民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69.95%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70.63%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2" w:line="220" w:lineRule="auto"/>
              <w:ind w:firstLine="11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3.医疗质量</w:t>
            </w: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8" w:line="220" w:lineRule="auto"/>
              <w:jc w:val="center"/>
              <w:rPr>
                <w:rFonts w:asciiTheme="minorEastAsia" w:hAnsiTheme="minorEastAsia"/>
                <w:bCs/>
                <w:color w:val="auto"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96.51%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napToGrid w:val="0"/>
                <w:color w:val="auto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Cs/>
                <w:snapToGrid w:val="0"/>
                <w:color w:val="auto"/>
                <w:sz w:val="25"/>
                <w:szCs w:val="25"/>
                <w:lang w:val="en-US" w:eastAsia="zh-CN" w:bidi="ar-SA"/>
              </w:rPr>
              <w:t>95.4%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napToGrid w:val="0"/>
                <w:color w:val="auto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97.8%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99.3%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napToGrid w:val="0"/>
                <w:color w:val="auto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99.7%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99.4%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color w:val="auto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napToGrid w:val="0"/>
                <w:color w:val="auto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31.63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  <w:rPr>
                <w:rFonts w:hint="default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30.79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napToGrid w:val="0"/>
                <w:color w:val="auto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1.41%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  <w:rPr>
                <w:rFonts w:hint="default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1.22%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napToGrid w:val="0"/>
                <w:color w:val="auto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0.38%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  <w:rPr>
                <w:rFonts w:hint="default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0.1%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Cs/>
                <w:snapToGrid w:val="0"/>
                <w:color w:val="auto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  <w:rPr>
                <w:rFonts w:hint="default" w:asciiTheme="minorEastAsia" w:hAnsiTheme="minorEastAsia"/>
                <w:bCs/>
                <w:color w:val="auto"/>
                <w:sz w:val="25"/>
                <w:szCs w:val="25"/>
                <w:lang w:eastAsia="zh-CN"/>
              </w:rPr>
            </w:pPr>
            <w:r>
              <w:rPr>
                <w:rFonts w:hint="default" w:asciiTheme="minorEastAsia" w:hAnsiTheme="minorEastAsia"/>
                <w:bCs/>
                <w:color w:val="auto"/>
                <w:sz w:val="25"/>
                <w:szCs w:val="25"/>
                <w:lang w:eastAsia="zh-CN"/>
              </w:rPr>
              <w:t>0.01%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napToGrid w:val="0"/>
                <w:color w:val="auto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33.43%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40.1%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bCs/>
                <w:snapToGrid w:val="0"/>
                <w:color w:val="auto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0.32%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color w:val="auto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  <w:rPr>
                <w:color w:val="auto"/>
              </w:rPr>
            </w:pPr>
          </w:p>
          <w:p>
            <w:pPr>
              <w:spacing w:line="246" w:lineRule="auto"/>
              <w:rPr>
                <w:color w:val="auto"/>
              </w:rPr>
            </w:pPr>
          </w:p>
          <w:p>
            <w:pPr>
              <w:spacing w:line="246" w:lineRule="auto"/>
              <w:rPr>
                <w:color w:val="auto"/>
              </w:rPr>
            </w:pPr>
          </w:p>
          <w:p>
            <w:pPr>
              <w:spacing w:line="246" w:lineRule="auto"/>
              <w:rPr>
                <w:color w:val="auto"/>
              </w:rPr>
            </w:pPr>
          </w:p>
          <w:p>
            <w:pPr>
              <w:spacing w:line="246" w:lineRule="auto"/>
              <w:rPr>
                <w:color w:val="auto"/>
              </w:rPr>
            </w:pPr>
          </w:p>
          <w:p>
            <w:pPr>
              <w:spacing w:line="246" w:lineRule="auto"/>
              <w:rPr>
                <w:color w:val="auto"/>
              </w:rPr>
            </w:pPr>
          </w:p>
          <w:p>
            <w:pPr>
              <w:spacing w:line="246" w:lineRule="auto"/>
              <w:rPr>
                <w:color w:val="auto"/>
              </w:rPr>
            </w:pPr>
          </w:p>
          <w:p>
            <w:pPr>
              <w:spacing w:line="246" w:lineRule="auto"/>
              <w:rPr>
                <w:color w:val="auto"/>
              </w:rPr>
            </w:pPr>
          </w:p>
          <w:p>
            <w:pPr>
              <w:spacing w:before="81" w:line="219" w:lineRule="auto"/>
              <w:ind w:firstLine="104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20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1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7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</w:rPr>
              <w:t>3</w:t>
            </w: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</w:rPr>
              <w:t>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44%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19" w:lineRule="auto"/>
              <w:ind w:firstLine="11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4.2门诊患者预约后平均等待时间(分钟)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15~20分钟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20~25分钟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1" w:lineRule="auto"/>
              <w:rPr>
                <w:color w:val="auto"/>
              </w:rPr>
            </w:pPr>
          </w:p>
          <w:p>
            <w:pPr>
              <w:spacing w:line="261" w:lineRule="auto"/>
              <w:rPr>
                <w:color w:val="auto"/>
              </w:rPr>
            </w:pPr>
          </w:p>
          <w:p>
            <w:pPr>
              <w:spacing w:before="81" w:line="219" w:lineRule="auto"/>
              <w:ind w:firstLine="91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23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color w:val="auto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5"/>
                <w:szCs w:val="25"/>
              </w:rPr>
              <w:t>二级</w:t>
            </w:r>
          </w:p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5"/>
                <w:szCs w:val="25"/>
              </w:rPr>
              <w:t>手术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auto"/>
                <w:spacing w:val="7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5"/>
                <w:szCs w:val="25"/>
                <w:lang w:val="en-US" w:eastAsia="zh-CN"/>
              </w:rPr>
              <w:t>2.02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auto"/>
                <w:spacing w:val="7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5"/>
                <w:szCs w:val="25"/>
                <w:lang w:val="en-US" w:eastAsia="zh-CN"/>
              </w:rPr>
              <w:t>2.25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color w:val="auto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5"/>
                <w:szCs w:val="25"/>
              </w:rPr>
              <w:t>三级</w:t>
            </w:r>
          </w:p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5"/>
                <w:szCs w:val="25"/>
              </w:rPr>
              <w:t>手术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auto"/>
                <w:spacing w:val="7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5"/>
                <w:szCs w:val="25"/>
                <w:lang w:val="en-US" w:eastAsia="zh-CN"/>
              </w:rPr>
              <w:t>2.41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auto"/>
                <w:spacing w:val="7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5"/>
                <w:szCs w:val="25"/>
                <w:lang w:val="en-US" w:eastAsia="zh-CN"/>
              </w:rPr>
              <w:t>2.39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19" w:lineRule="auto"/>
              <w:ind w:firstLine="185"/>
              <w:rPr>
                <w:rFonts w:ascii="宋体" w:hAnsi="宋体" w:eastAsia="宋体" w:cs="宋体"/>
                <w:color w:val="auto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5"/>
                <w:szCs w:val="25"/>
              </w:rPr>
              <w:t>四级</w:t>
            </w:r>
          </w:p>
          <w:p>
            <w:pPr>
              <w:spacing w:before="116" w:line="219" w:lineRule="auto"/>
              <w:ind w:firstLine="185"/>
              <w:rPr>
                <w:rFonts w:ascii="宋体" w:hAnsi="宋体" w:eastAsia="宋体" w:cs="宋体"/>
                <w:color w:val="auto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5"/>
                <w:szCs w:val="25"/>
              </w:rPr>
              <w:t>手术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auto"/>
                <w:spacing w:val="7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5"/>
                <w:szCs w:val="25"/>
                <w:lang w:val="en-US" w:eastAsia="zh-CN"/>
              </w:rPr>
              <w:t>2.93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auto"/>
                <w:spacing w:val="7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5"/>
                <w:szCs w:val="25"/>
                <w:lang w:val="en-US" w:eastAsia="zh-CN"/>
              </w:rPr>
              <w:t>2.61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11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4.4病床使用率(%)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90.07%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82.77%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0" w:lineRule="auto"/>
              <w:ind w:firstLine="11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4.5出院者平均住院日(天)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8.99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8.56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19" w:lineRule="auto"/>
              <w:ind w:firstLine="11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4.6门诊人次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240981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233532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43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4.7出院人次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9439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pacing w:val="7"/>
                <w:sz w:val="25"/>
                <w:szCs w:val="25"/>
                <w:lang w:eastAsia="zh-CN"/>
                <w14:textFill>
                  <w14:solidFill>
                    <w14:schemeClr w14:val="tx1"/>
                  </w14:solidFill>
                </w14:textFill>
              </w:rPr>
              <w:t>8752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4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0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5.患者满意度</w:t>
            </w:r>
          </w:p>
        </w:tc>
        <w:tc>
          <w:tcPr>
            <w:tcW w:w="420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总体满意度(%)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jc w:val="center"/>
              <w:rPr>
                <w:rFonts w:asciiTheme="minorEastAsia" w:hAnsiTheme="minorEastAsia"/>
                <w:bCs/>
                <w:color w:val="auto"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</w:rPr>
              <w:t>门诊：86.</w:t>
            </w: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70</w:t>
            </w:r>
            <w:r>
              <w:rPr>
                <w:rFonts w:asciiTheme="minorEastAsia" w:hAnsiTheme="minorEastAsia"/>
                <w:bCs/>
                <w:color w:val="auto"/>
                <w:sz w:val="25"/>
                <w:szCs w:val="25"/>
              </w:rPr>
              <w:t>%</w:t>
            </w:r>
          </w:p>
          <w:p>
            <w:pPr>
              <w:spacing w:before="118" w:line="220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</w:rPr>
              <w:t>住院：93.</w:t>
            </w: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85</w:t>
            </w:r>
            <w:r>
              <w:rPr>
                <w:rFonts w:asciiTheme="minorEastAsia" w:hAnsiTheme="minorEastAsia"/>
                <w:bCs/>
                <w:color w:val="auto"/>
                <w:sz w:val="25"/>
                <w:szCs w:val="25"/>
              </w:rPr>
              <w:t>%</w:t>
            </w:r>
          </w:p>
        </w:tc>
        <w:tc>
          <w:tcPr>
            <w:tcW w:w="19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jc w:val="center"/>
              <w:rPr>
                <w:rFonts w:asciiTheme="minorEastAsia" w:hAnsiTheme="minorEastAsia"/>
                <w:bCs/>
                <w:color w:val="auto"/>
                <w:sz w:val="25"/>
                <w:szCs w:val="25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</w:rPr>
              <w:t>门诊：86.</w:t>
            </w: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bCs/>
                <w:color w:val="auto"/>
                <w:sz w:val="25"/>
                <w:szCs w:val="25"/>
                <w:lang w:eastAsia="zh-CN"/>
              </w:rPr>
              <w:t>1</w:t>
            </w:r>
            <w:r>
              <w:rPr>
                <w:rFonts w:asciiTheme="minorEastAsia" w:hAnsiTheme="minorEastAsia"/>
                <w:bCs/>
                <w:color w:val="auto"/>
                <w:sz w:val="25"/>
                <w:szCs w:val="25"/>
              </w:rPr>
              <w:t>%</w:t>
            </w:r>
          </w:p>
          <w:p>
            <w:pPr>
              <w:spacing w:before="118" w:line="220" w:lineRule="auto"/>
              <w:jc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</w:rPr>
              <w:t>住院：93.</w:t>
            </w:r>
            <w:r>
              <w:rPr>
                <w:rFonts w:hint="eastAsia" w:asciiTheme="minorEastAsia" w:hAnsiTheme="minorEastAsia"/>
                <w:bCs/>
                <w:color w:val="auto"/>
                <w:sz w:val="25"/>
                <w:szCs w:val="25"/>
                <w:lang w:val="en-US" w:eastAsia="zh-CN"/>
              </w:rPr>
              <w:t>8</w:t>
            </w:r>
            <w:r>
              <w:rPr>
                <w:rFonts w:hint="default" w:asciiTheme="minorEastAsia" w:hAnsiTheme="minorEastAsia"/>
                <w:bCs/>
                <w:color w:val="auto"/>
                <w:sz w:val="25"/>
                <w:szCs w:val="25"/>
                <w:lang w:eastAsia="zh-CN"/>
              </w:rPr>
              <w:t>9</w:t>
            </w:r>
            <w:r>
              <w:rPr>
                <w:rFonts w:asciiTheme="minorEastAsia" w:hAnsiTheme="minorEastAsia"/>
                <w:bCs/>
                <w:color w:val="auto"/>
                <w:sz w:val="25"/>
                <w:szCs w:val="25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4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6.服务承诺</w:t>
            </w:r>
          </w:p>
        </w:tc>
        <w:tc>
          <w:tcPr>
            <w:tcW w:w="7797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firstLine="151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医疗机构服务承诺内容(见附件3</w:t>
            </w:r>
            <w:r>
              <w:rPr>
                <w:rFonts w:hint="eastAsia"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0" w:h="16840"/>
          <w:pgMar w:top="1431" w:right="1324" w:bottom="2410" w:left="1415" w:header="0" w:footer="1060" w:gutter="0"/>
          <w:cols w:space="720" w:num="1"/>
        </w:sectPr>
      </w:pPr>
    </w:p>
    <w:p>
      <w:pPr>
        <w:spacing w:before="117" w:line="219" w:lineRule="auto"/>
        <w:rPr>
          <w:rFonts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36"/>
          <w:szCs w:val="36"/>
          <w14:textFill>
            <w14:solidFill>
              <w14:schemeClr w14:val="tx1"/>
            </w14:solidFill>
          </w14:textFill>
        </w:rPr>
        <w:t>附件2</w:t>
      </w:r>
    </w:p>
    <w:p>
      <w:pPr>
        <w:spacing w:before="337" w:line="219" w:lineRule="auto"/>
        <w:ind w:firstLine="1705"/>
        <w:rPr>
          <w:rFonts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医疗机构住院患者单病种平均费用</w:t>
      </w:r>
    </w:p>
    <w:p>
      <w:pPr>
        <w:spacing w:line="18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905" w:type="dxa"/>
        <w:tblInd w:w="-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976"/>
        <w:gridCol w:w="2489"/>
        <w:gridCol w:w="2060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0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220" w:lineRule="auto"/>
              <w:ind w:firstLine="2875"/>
              <w:rPr>
                <w:rFonts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6" w:lineRule="auto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5" w:line="221" w:lineRule="auto"/>
              <w:ind w:firstLine="134"/>
              <w:rPr>
                <w:rFonts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20" w:lineRule="auto"/>
              <w:ind w:firstLine="380"/>
              <w:jc w:val="center"/>
              <w:rPr>
                <w:rFonts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疾病名称</w:t>
            </w:r>
          </w:p>
          <w:p>
            <w:pPr>
              <w:spacing w:before="91" w:line="219" w:lineRule="auto"/>
              <w:ind w:firstLine="230"/>
              <w:jc w:val="center"/>
              <w:rPr>
                <w:rFonts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(按ICD-10编</w:t>
            </w:r>
            <w:r>
              <w:rPr>
                <w:rFonts w:ascii="宋体" w:hAnsi="宋体" w:eastAsia="宋体" w:cs="宋体"/>
                <w:b/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码分类)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5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5" w:line="219" w:lineRule="auto"/>
              <w:jc w:val="both"/>
              <w:rPr>
                <w:rFonts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宋体"/>
                <w:b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b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上期</w:t>
            </w:r>
            <w:r>
              <w:rPr>
                <w:rFonts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平均费用(元)</w:t>
            </w:r>
          </w:p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季度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期平均费用(元)</w:t>
            </w:r>
          </w:p>
          <w:p>
            <w:pPr>
              <w:spacing w:before="65" w:line="220" w:lineRule="auto"/>
              <w:ind w:firstLine="277"/>
              <w:jc w:val="both"/>
              <w:rPr>
                <w:rFonts w:ascii="宋体" w:hAnsi="宋体" w:eastAsia="宋体" w:cs="宋体"/>
                <w:b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4" w:line="187" w:lineRule="auto"/>
              <w:ind w:firstLine="28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肺部感染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9139.05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7678.69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6" w:lineRule="auto"/>
              <w:ind w:firstLine="28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慢性心功能不全急性加重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eastAsia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12832.12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5" w:lineRule="auto"/>
              <w:ind w:firstLine="28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2型糖尿病伴血糖控制不佳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5347.99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4622.70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5" w:line="186" w:lineRule="auto"/>
              <w:ind w:firstLine="28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代谢综合征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6931.15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6578.19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3" w:lineRule="auto"/>
              <w:ind w:firstLine="28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眩晕综合征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5183.69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4827.14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5" w:lineRule="auto"/>
              <w:ind w:firstLine="28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高血压病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eastAsia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5436.05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5029.17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3" w:lineRule="auto"/>
              <w:ind w:firstLine="28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手术后恶性肿瘤化学治疗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5754.25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6271.17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185" w:lineRule="auto"/>
              <w:ind w:firstLine="28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不稳定型心绞痛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13401.78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11751.78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185" w:lineRule="auto"/>
              <w:ind w:firstLine="28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恶性肿瘤维持性化学治疗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10821.07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10024.18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185" w:lineRule="auto"/>
              <w:ind w:firstLine="23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慢性阻塞性肺病伴有急性加重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8619.94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7122.82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7" w:lineRule="auto"/>
              <w:ind w:firstLine="23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社区获得性肺炎，非重症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eastAsia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5189.08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4148.11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187" w:lineRule="auto"/>
              <w:ind w:firstLine="23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结肠息肉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结肠病损高频电凝术</w:t>
            </w: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4415.10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4434.62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5" w:lineRule="auto"/>
              <w:ind w:firstLine="23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慢性肾脏病5期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eastAsia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11202.45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11913.83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7" w:line="187" w:lineRule="auto"/>
              <w:ind w:firstLine="23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混合痔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混合痔外剥内扎治疗</w:t>
            </w: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6417.65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6667.71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5" w:lineRule="auto"/>
              <w:ind w:firstLine="23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恶性肿瘤靶向治疗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14422.18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12623.45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185" w:lineRule="auto"/>
              <w:ind w:firstLine="23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恶性肿瘤免疫治疗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9783.96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6686.22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85" w:lineRule="auto"/>
              <w:ind w:firstLine="23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5088.05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取除骨折内固定装置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骨折内固定装置去除术</w:t>
            </w: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6613.41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6234.53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后循环缺血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9462.31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5458.65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结肠良性肿瘤</w:t>
            </w:r>
          </w:p>
        </w:tc>
        <w:tc>
          <w:tcPr>
            <w:tcW w:w="2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内镜下结肠黏膜切除术(EMR)</w:t>
            </w:r>
          </w:p>
        </w:tc>
        <w:tc>
          <w:tcPr>
            <w:tcW w:w="2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 w:themeColor="text1"/>
                <w:spacing w:val="7"/>
                <w:sz w:val="25"/>
                <w:szCs w:val="2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6361.02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5690.98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0" w:h="16840"/>
          <w:pgMar w:top="1431" w:right="1574" w:bottom="1272" w:left="1670" w:header="0" w:footer="1019" w:gutter="0"/>
          <w:cols w:space="720" w:num="1"/>
        </w:sectPr>
      </w:pPr>
    </w:p>
    <w:p>
      <w:pPr>
        <w:spacing w:before="351" w:line="219" w:lineRule="auto"/>
        <w:rPr>
          <w:rFonts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5"/>
          <w:sz w:val="36"/>
          <w:szCs w:val="36"/>
          <w14:textFill>
            <w14:solidFill>
              <w14:schemeClr w14:val="tx1"/>
            </w14:solidFill>
          </w14:textFill>
        </w:rPr>
        <w:t>附件3</w:t>
      </w:r>
    </w:p>
    <w:p>
      <w:pPr>
        <w:spacing w:line="428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17" w:line="219" w:lineRule="auto"/>
        <w:ind w:firstLine="2595"/>
        <w:rPr>
          <w:rFonts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3"/>
          <w:sz w:val="36"/>
          <w:szCs w:val="36"/>
          <w14:textFill>
            <w14:solidFill>
              <w14:schemeClr w14:val="tx1"/>
            </w14:solidFill>
          </w14:textFill>
        </w:rPr>
        <w:t>医疗机构服务承诺内容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19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073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221" w:lineRule="auto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219" w:lineRule="auto"/>
              <w:ind w:firstLine="2452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依法行医。医疗机构按照诊疗项目开展医疗活动，无科室对外租赁、承包，医疗人员依法执业。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文明服务。医疗人员挂牌上岗，服务态度和谐，文明礼貌，服务环境整洁，保护病人隐私。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</w:p>
        </w:tc>
        <w:tc>
          <w:tcPr>
            <w:tcW w:w="82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便民服务。门急诊就医标志醒目，设有导诊和分诊人员，为病人提供咨询服务。门急诊提供轮椅、担架、开水等便民服务。</w:t>
            </w:r>
            <w:r>
              <w:rPr>
                <w:rFonts w:hint="eastAsia" w:ascii="微软雅黑" w:hAnsi="微软雅黑" w:eastAsia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诚信服务。维护患者合法权益，不发布虚假违法医疗广告。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首问负责。医护人员首问负责，不推诿患者，关心体贴病人。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合理治疗。合理检查，合理用药。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对大型检查和使用贵重药品应事先向患者或家属说明。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对危重患者开通绿色通道。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规范收费。严格医疗收费管理，规范收费行为，杜绝不合理收费。接受价格咨询，提供自动费用查询。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强化医保。贯彻执行各项医保政策，全面开展医保即时结报工作。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拒收红包。恪守医德，廉洁行医，坚持患者利益至上。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公开院务。向社会公开医疗服务价格和收费信息。</w:t>
            </w:r>
          </w:p>
        </w:tc>
      </w:tr>
    </w:tbl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265" w:line="219" w:lineRule="auto"/>
        <w:rPr>
          <w:rFonts w:ascii="楷体" w:hAnsi="楷体" w:eastAsia="楷体" w:cs="楷体"/>
          <w:color w:val="000000" w:themeColor="text1"/>
          <w:sz w:val="25"/>
          <w:szCs w:val="25"/>
          <w14:textFill>
            <w14:solidFill>
              <w14:schemeClr w14:val="tx1"/>
            </w14:solidFill>
          </w14:textFill>
        </w:rPr>
      </w:pPr>
    </w:p>
    <w:bookmarkEnd w:id="0"/>
    <w:sectPr>
      <w:footerReference r:id="rId5" w:type="default"/>
      <w:pgSz w:w="11900" w:h="16840"/>
      <w:pgMar w:top="1431" w:right="1425" w:bottom="1267" w:left="1524" w:header="0" w:footer="11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954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39"/>
      <w:rPr>
        <w:rFonts w:ascii="宋体" w:hAnsi="宋体" w:eastAsia="宋体" w:cs="宋体"/>
        <w:sz w:val="36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exact"/>
      <w:ind w:firstLine="165"/>
      <w:rPr>
        <w:rFonts w:ascii="黑体" w:hAnsi="黑体" w:eastAsia="黑体" w:cs="黑体"/>
        <w:sz w:val="37"/>
        <w:szCs w:val="3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OWNmMjU1YTdiODgzNzgyZDVmNGY3NGVjYTA4NDQifQ=="/>
    <w:docVar w:name="KSO_WPS_MARK_KEY" w:val="bd5bc599-3231-45bc-b6e6-badc42834c84"/>
  </w:docVars>
  <w:rsids>
    <w:rsidRoot w:val="003D397E"/>
    <w:rsid w:val="00040829"/>
    <w:rsid w:val="00070607"/>
    <w:rsid w:val="000977CF"/>
    <w:rsid w:val="000C108D"/>
    <w:rsid w:val="001256A0"/>
    <w:rsid w:val="0013684F"/>
    <w:rsid w:val="00140BC6"/>
    <w:rsid w:val="00145CFF"/>
    <w:rsid w:val="00195BEB"/>
    <w:rsid w:val="0019749B"/>
    <w:rsid w:val="001B0992"/>
    <w:rsid w:val="001B7F16"/>
    <w:rsid w:val="002144A7"/>
    <w:rsid w:val="0025215C"/>
    <w:rsid w:val="002634FF"/>
    <w:rsid w:val="002936D8"/>
    <w:rsid w:val="002A21BC"/>
    <w:rsid w:val="002C0B3F"/>
    <w:rsid w:val="002C4692"/>
    <w:rsid w:val="002F785B"/>
    <w:rsid w:val="003244A0"/>
    <w:rsid w:val="00341E22"/>
    <w:rsid w:val="003536D5"/>
    <w:rsid w:val="00360381"/>
    <w:rsid w:val="00364494"/>
    <w:rsid w:val="003A41C5"/>
    <w:rsid w:val="003D397E"/>
    <w:rsid w:val="0040738B"/>
    <w:rsid w:val="004328D8"/>
    <w:rsid w:val="004351A0"/>
    <w:rsid w:val="00452CB9"/>
    <w:rsid w:val="004628E4"/>
    <w:rsid w:val="004A0505"/>
    <w:rsid w:val="004A522D"/>
    <w:rsid w:val="004D673F"/>
    <w:rsid w:val="005027CA"/>
    <w:rsid w:val="00540663"/>
    <w:rsid w:val="00547C06"/>
    <w:rsid w:val="005602BF"/>
    <w:rsid w:val="00566721"/>
    <w:rsid w:val="00582980"/>
    <w:rsid w:val="00590700"/>
    <w:rsid w:val="005A483F"/>
    <w:rsid w:val="005D03B0"/>
    <w:rsid w:val="00606192"/>
    <w:rsid w:val="00623675"/>
    <w:rsid w:val="00635B34"/>
    <w:rsid w:val="00643474"/>
    <w:rsid w:val="00646122"/>
    <w:rsid w:val="00646C9C"/>
    <w:rsid w:val="00660778"/>
    <w:rsid w:val="006A7283"/>
    <w:rsid w:val="006C05E4"/>
    <w:rsid w:val="006F0D33"/>
    <w:rsid w:val="0072625C"/>
    <w:rsid w:val="00767E76"/>
    <w:rsid w:val="00772E49"/>
    <w:rsid w:val="007B13FB"/>
    <w:rsid w:val="007D131B"/>
    <w:rsid w:val="007D630E"/>
    <w:rsid w:val="007D7B5C"/>
    <w:rsid w:val="007E7CEC"/>
    <w:rsid w:val="008143A8"/>
    <w:rsid w:val="00827500"/>
    <w:rsid w:val="00852008"/>
    <w:rsid w:val="0085376A"/>
    <w:rsid w:val="008600FC"/>
    <w:rsid w:val="00911B98"/>
    <w:rsid w:val="009271C8"/>
    <w:rsid w:val="00942D3E"/>
    <w:rsid w:val="00992F04"/>
    <w:rsid w:val="00996B47"/>
    <w:rsid w:val="009A6D56"/>
    <w:rsid w:val="00A0432D"/>
    <w:rsid w:val="00A10FCB"/>
    <w:rsid w:val="00A20176"/>
    <w:rsid w:val="00A62FF0"/>
    <w:rsid w:val="00A858A5"/>
    <w:rsid w:val="00AC6034"/>
    <w:rsid w:val="00AF0B13"/>
    <w:rsid w:val="00B13D6F"/>
    <w:rsid w:val="00B24FE4"/>
    <w:rsid w:val="00B34822"/>
    <w:rsid w:val="00B41993"/>
    <w:rsid w:val="00B45D0A"/>
    <w:rsid w:val="00B9754B"/>
    <w:rsid w:val="00BF5B41"/>
    <w:rsid w:val="00C35C52"/>
    <w:rsid w:val="00C40A4F"/>
    <w:rsid w:val="00C41857"/>
    <w:rsid w:val="00C53B74"/>
    <w:rsid w:val="00CA0FE1"/>
    <w:rsid w:val="00CA6B41"/>
    <w:rsid w:val="00CB2B77"/>
    <w:rsid w:val="00D13F2B"/>
    <w:rsid w:val="00D558F4"/>
    <w:rsid w:val="00D67A05"/>
    <w:rsid w:val="00DC031B"/>
    <w:rsid w:val="00DE2CF2"/>
    <w:rsid w:val="00DF3DB8"/>
    <w:rsid w:val="00E36A51"/>
    <w:rsid w:val="00E4675B"/>
    <w:rsid w:val="00EB128A"/>
    <w:rsid w:val="00EB6D79"/>
    <w:rsid w:val="00ED6041"/>
    <w:rsid w:val="00ED610E"/>
    <w:rsid w:val="00F15C36"/>
    <w:rsid w:val="00F20EEE"/>
    <w:rsid w:val="00F22B48"/>
    <w:rsid w:val="00F67968"/>
    <w:rsid w:val="00FA0B2D"/>
    <w:rsid w:val="00FC7302"/>
    <w:rsid w:val="00FC7707"/>
    <w:rsid w:val="00FE64F2"/>
    <w:rsid w:val="00FF4354"/>
    <w:rsid w:val="0397353D"/>
    <w:rsid w:val="0B41524D"/>
    <w:rsid w:val="10AE615D"/>
    <w:rsid w:val="138D729C"/>
    <w:rsid w:val="183F1D57"/>
    <w:rsid w:val="18FF04F5"/>
    <w:rsid w:val="242367CA"/>
    <w:rsid w:val="25BD4365"/>
    <w:rsid w:val="265A6D89"/>
    <w:rsid w:val="281F53DF"/>
    <w:rsid w:val="296F1E02"/>
    <w:rsid w:val="29F576C5"/>
    <w:rsid w:val="2AD92954"/>
    <w:rsid w:val="2E6B4810"/>
    <w:rsid w:val="2FF2FB66"/>
    <w:rsid w:val="3C6454B6"/>
    <w:rsid w:val="3E611048"/>
    <w:rsid w:val="48537B7C"/>
    <w:rsid w:val="48D941E6"/>
    <w:rsid w:val="4CDD6E80"/>
    <w:rsid w:val="4E9012C0"/>
    <w:rsid w:val="4F712481"/>
    <w:rsid w:val="4F7F542D"/>
    <w:rsid w:val="4FAA1E69"/>
    <w:rsid w:val="501969AB"/>
    <w:rsid w:val="546E7D01"/>
    <w:rsid w:val="56333657"/>
    <w:rsid w:val="57AC301B"/>
    <w:rsid w:val="58006EC2"/>
    <w:rsid w:val="5A355962"/>
    <w:rsid w:val="5A4F473A"/>
    <w:rsid w:val="60BE791B"/>
    <w:rsid w:val="631C6C43"/>
    <w:rsid w:val="66233279"/>
    <w:rsid w:val="6F1C062E"/>
    <w:rsid w:val="779C18FD"/>
    <w:rsid w:val="78153B06"/>
    <w:rsid w:val="7B2F7869"/>
    <w:rsid w:val="7BEDA7D7"/>
    <w:rsid w:val="7BFB7123"/>
    <w:rsid w:val="7C457D32"/>
    <w:rsid w:val="7C772D41"/>
    <w:rsid w:val="7C9B2566"/>
    <w:rsid w:val="7D2128DC"/>
    <w:rsid w:val="9CFF5D5F"/>
    <w:rsid w:val="DF6E4C19"/>
    <w:rsid w:val="E5F74D9B"/>
    <w:rsid w:val="F9B3F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4673266E-0303-4C07-8A7C-C481033F5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1247</Words>
  <Characters>1821</Characters>
  <Lines>14</Lines>
  <Paragraphs>4</Paragraphs>
  <TotalTime>63</TotalTime>
  <ScaleCrop>false</ScaleCrop>
  <LinksUpToDate>false</LinksUpToDate>
  <CharactersWithSpaces>1931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2022-05-28T01:15:00Z</dcterms:created>
  <dc:creator>Kingsoft-PDF</dc:creator>
  <cp:keywords>628ed48933187000151b6b6c</cp:keywords>
  <cp:lastModifiedBy>605119980@qq.com</cp:lastModifiedBy>
  <cp:lastPrinted>2022-07-21T09:57:00Z</cp:lastPrinted>
  <dcterms:modified xsi:type="dcterms:W3CDTF">2023-01-13T07:42:10Z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2022-05-26T09:15:17Z</vt:filetime>
  </property>
  <property fmtid="{D5CDD505-2E9C-101B-9397-08002B2CF9AE}" pid="4" name="KSOProductBuildVer">
    <vt:lpwstr>2052-11.1.0.12651</vt:lpwstr>
  </property>
  <property fmtid="{D5CDD505-2E9C-101B-9397-08002B2CF9AE}" pid="5" name="ICV">
    <vt:lpwstr>4329C7D3649E4CC8BCAC5B5C0D367058</vt:lpwstr>
  </property>
</Properties>
</file>